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9D" w:rsidRDefault="0031159D" w:rsidP="0031159D">
      <w:pPr>
        <w:jc w:val="center"/>
        <w:rPr>
          <w:rFonts w:ascii="Tahoma" w:hAnsi="Tahoma" w:cs="Tahoma"/>
          <w:b/>
          <w:bCs/>
          <w:u w:val="single"/>
        </w:rPr>
      </w:pPr>
    </w:p>
    <w:p w:rsidR="0031159D" w:rsidRDefault="0031159D" w:rsidP="0031159D">
      <w:pPr>
        <w:jc w:val="center"/>
        <w:rPr>
          <w:rFonts w:ascii="Tahoma" w:hAnsi="Tahoma" w:cs="Tahoma"/>
          <w:b/>
          <w:bCs/>
          <w:u w:val="single"/>
        </w:rPr>
      </w:pPr>
    </w:p>
    <w:p w:rsidR="0031159D" w:rsidRDefault="0031159D" w:rsidP="0031159D">
      <w:pPr>
        <w:jc w:val="center"/>
        <w:rPr>
          <w:rFonts w:ascii="Tahoma" w:hAnsi="Tahoma" w:cs="Tahoma"/>
          <w:b/>
          <w:bCs/>
          <w:u w:val="single"/>
        </w:rPr>
      </w:pPr>
    </w:p>
    <w:p w:rsidR="0031159D" w:rsidRPr="0031159D" w:rsidRDefault="00116AD0" w:rsidP="0031159D">
      <w:pPr>
        <w:rPr>
          <w:rFonts w:ascii="Arial" w:hAnsi="Arial" w:cs="Arial"/>
          <w:i/>
          <w:color w:val="000000"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8BB10A" wp14:editId="7613A2DF">
            <wp:simplePos x="0" y="0"/>
            <wp:positionH relativeFrom="column">
              <wp:posOffset>2728595</wp:posOffset>
            </wp:positionH>
            <wp:positionV relativeFrom="paragraph">
              <wp:posOffset>229235</wp:posOffset>
            </wp:positionV>
            <wp:extent cx="24860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17" y="21327"/>
                <wp:lineTo x="21517" y="0"/>
                <wp:lineTo x="0" y="0"/>
              </wp:wrapPolygon>
            </wp:wrapTight>
            <wp:docPr id="1" name="Image 1" descr="Description : V:\PEPINIERE\Pepinière Web\Disque local\Partage\pepiniere\Village fleuries\2019\Logo officiel du label Villes et Villages Fleuris\LOGO OFFICIEL VILLES ET VILLAGES FLEURIS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V:\PEPINIERE\Pepinière Web\Disque local\Partage\pepiniere\Village fleuries\2019\Logo officiel du label Villes et Villages Fleuris\LOGO OFFICIEL VILLES ET VILLAGES FLEURIS -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G Times" w:hAnsi="CG Times"/>
          <w:noProof/>
          <w:sz w:val="20"/>
          <w:szCs w:val="20"/>
        </w:rPr>
        <w:drawing>
          <wp:inline distT="0" distB="0" distL="0" distR="0" wp14:anchorId="54FFD558" wp14:editId="75A881E2">
            <wp:extent cx="850805" cy="1047750"/>
            <wp:effectExtent l="0" t="0" r="6985" b="0"/>
            <wp:docPr id="4" name="Image 4" descr="logo_CD12_vertical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D12_vertical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59D">
        <w:rPr>
          <w:rFonts w:ascii="Arial" w:hAnsi="Arial" w:cs="Arial"/>
          <w:i/>
          <w:noProof/>
          <w:color w:val="00000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235CA" wp14:editId="34C64FF7">
                <wp:simplePos x="0" y="0"/>
                <wp:positionH relativeFrom="column">
                  <wp:posOffset>7391400</wp:posOffset>
                </wp:positionH>
                <wp:positionV relativeFrom="paragraph">
                  <wp:posOffset>-571500</wp:posOffset>
                </wp:positionV>
                <wp:extent cx="2286000" cy="977265"/>
                <wp:effectExtent l="9525" t="9525" r="9525" b="133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59D" w:rsidRDefault="0031159D" w:rsidP="0031159D"/>
                          <w:p w:rsidR="0031159D" w:rsidRDefault="0031159D" w:rsidP="0031159D"/>
                          <w:p w:rsidR="0031159D" w:rsidRDefault="0031159D" w:rsidP="0031159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10BD6">
                              <w:rPr>
                                <w:i/>
                              </w:rPr>
                              <w:t xml:space="preserve">Logo de l’organisme </w:t>
                            </w:r>
                          </w:p>
                          <w:p w:rsidR="0031159D" w:rsidRPr="00210BD6" w:rsidRDefault="0031159D" w:rsidP="0031159D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210BD6">
                              <w:rPr>
                                <w:i/>
                              </w:rPr>
                              <w:t>chargé</w:t>
                            </w:r>
                            <w:proofErr w:type="gramEnd"/>
                            <w:r w:rsidRPr="00210BD6">
                              <w:rPr>
                                <w:i/>
                              </w:rPr>
                              <w:t xml:space="preserve"> du concours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82pt;margin-top:-45pt;width:180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">
                <v:stroke dashstyle="dashDot"/>
                <v:textbox>
                  <w:txbxContent>
                    <w:p w:rsidR="0031159D" w:rsidRDefault="0031159D" w:rsidP="0031159D"/>
                    <w:p w:rsidR="0031159D" w:rsidRDefault="0031159D" w:rsidP="0031159D"/>
                    <w:p w:rsidR="0031159D" w:rsidRDefault="0031159D" w:rsidP="0031159D">
                      <w:pPr>
                        <w:jc w:val="center"/>
                        <w:rPr>
                          <w:i/>
                        </w:rPr>
                      </w:pPr>
                      <w:r w:rsidRPr="00210BD6">
                        <w:rPr>
                          <w:i/>
                        </w:rPr>
                        <w:t xml:space="preserve">Logo de l’organisme </w:t>
                      </w:r>
                    </w:p>
                    <w:p w:rsidR="0031159D" w:rsidRPr="00210BD6" w:rsidRDefault="0031159D" w:rsidP="0031159D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 w:rsidRPr="00210BD6">
                        <w:rPr>
                          <w:i/>
                        </w:rPr>
                        <w:t>chargé</w:t>
                      </w:r>
                      <w:proofErr w:type="gramEnd"/>
                      <w:r w:rsidRPr="00210BD6">
                        <w:rPr>
                          <w:i/>
                        </w:rPr>
                        <w:t xml:space="preserve"> du concours</w:t>
                      </w:r>
                    </w:p>
                  </w:txbxContent>
                </v:textbox>
              </v:shape>
            </w:pict>
          </mc:Fallback>
        </mc:AlternateContent>
      </w:r>
      <w:r w:rsidR="0031159D" w:rsidRPr="0031159D">
        <w:rPr>
          <w:rFonts w:ascii="CG Times" w:hAnsi="CG Times"/>
          <w:sz w:val="20"/>
          <w:szCs w:val="20"/>
        </w:rPr>
        <w:tab/>
      </w:r>
      <w:r w:rsidR="0031159D" w:rsidRPr="0031159D">
        <w:rPr>
          <w:rFonts w:ascii="CG Times" w:hAnsi="CG Times"/>
          <w:sz w:val="20"/>
          <w:szCs w:val="20"/>
        </w:rPr>
        <w:tab/>
      </w:r>
      <w:r w:rsidR="0031159D" w:rsidRPr="0031159D">
        <w:rPr>
          <w:rFonts w:ascii="CG Times" w:hAnsi="CG Times"/>
          <w:sz w:val="20"/>
          <w:szCs w:val="20"/>
        </w:rPr>
        <w:tab/>
      </w:r>
      <w:r w:rsidR="0031159D">
        <w:rPr>
          <w:rFonts w:ascii="CG Times" w:hAnsi="CG Times"/>
          <w:sz w:val="20"/>
          <w:szCs w:val="20"/>
        </w:rPr>
        <w:t xml:space="preserve">                  </w:t>
      </w:r>
      <w:r w:rsidR="0031159D">
        <w:rPr>
          <w:rFonts w:ascii="CG Times" w:hAnsi="CG Times"/>
          <w:noProof/>
          <w:sz w:val="20"/>
          <w:szCs w:val="20"/>
        </w:rPr>
        <w:t xml:space="preserve">                                     </w:t>
      </w:r>
      <w:r w:rsidR="0031159D" w:rsidRPr="0031159D">
        <w:rPr>
          <w:rFonts w:ascii="CG Times" w:hAnsi="CG Times"/>
          <w:sz w:val="20"/>
          <w:szCs w:val="20"/>
        </w:rPr>
        <w:tab/>
      </w:r>
      <w:r w:rsidR="0031159D" w:rsidRPr="0031159D">
        <w:rPr>
          <w:rFonts w:ascii="CG Times" w:hAnsi="CG Times"/>
          <w:sz w:val="20"/>
          <w:szCs w:val="20"/>
        </w:rPr>
        <w:tab/>
      </w:r>
      <w:r w:rsidR="0031159D" w:rsidRPr="0031159D">
        <w:rPr>
          <w:rFonts w:ascii="CG Times" w:hAnsi="CG Times"/>
          <w:sz w:val="20"/>
          <w:szCs w:val="20"/>
        </w:rPr>
        <w:tab/>
      </w:r>
      <w:r w:rsidR="0031159D" w:rsidRPr="0031159D">
        <w:rPr>
          <w:rFonts w:ascii="CG Times" w:hAnsi="CG Times"/>
          <w:sz w:val="20"/>
          <w:szCs w:val="20"/>
        </w:rPr>
        <w:tab/>
      </w:r>
      <w:r w:rsidR="0031159D" w:rsidRPr="0031159D">
        <w:rPr>
          <w:rFonts w:ascii="CG Times" w:hAnsi="CG Times"/>
          <w:sz w:val="20"/>
          <w:szCs w:val="20"/>
        </w:rPr>
        <w:tab/>
      </w:r>
    </w:p>
    <w:p w:rsidR="0031159D" w:rsidRPr="0031159D" w:rsidRDefault="0031159D" w:rsidP="0031159D">
      <w:pPr>
        <w:rPr>
          <w:rFonts w:ascii="Arial" w:hAnsi="Arial" w:cs="Arial"/>
          <w:i/>
          <w:color w:val="000000"/>
        </w:rPr>
      </w:pPr>
    </w:p>
    <w:p w:rsidR="0031159D" w:rsidRDefault="0031159D" w:rsidP="0031159D">
      <w:pPr>
        <w:jc w:val="center"/>
        <w:rPr>
          <w:rFonts w:ascii="Tahoma" w:hAnsi="Tahoma" w:cs="Tahoma"/>
          <w:b/>
          <w:bCs/>
          <w:u w:val="single"/>
        </w:rPr>
      </w:pPr>
    </w:p>
    <w:p w:rsidR="0031159D" w:rsidRDefault="0031159D" w:rsidP="0031159D">
      <w:pPr>
        <w:jc w:val="center"/>
        <w:rPr>
          <w:rFonts w:ascii="Tahoma" w:hAnsi="Tahoma" w:cs="Tahoma"/>
          <w:b/>
          <w:bCs/>
          <w:u w:val="single"/>
        </w:rPr>
      </w:pPr>
    </w:p>
    <w:p w:rsidR="0031159D" w:rsidRPr="00093731" w:rsidRDefault="0031159D" w:rsidP="0031159D">
      <w:pPr>
        <w:jc w:val="center"/>
        <w:rPr>
          <w:rFonts w:ascii="Tahoma" w:hAnsi="Tahoma" w:cs="Tahoma"/>
          <w:b/>
          <w:bCs/>
          <w:u w:val="single"/>
        </w:rPr>
      </w:pPr>
      <w:r w:rsidRPr="00093731">
        <w:rPr>
          <w:rFonts w:ascii="Tahoma" w:hAnsi="Tahoma" w:cs="Tahoma"/>
          <w:b/>
          <w:bCs/>
          <w:u w:val="single"/>
        </w:rPr>
        <w:t>CONCOURS DEPARTEMENTAL</w:t>
      </w:r>
    </w:p>
    <w:p w:rsidR="0031159D" w:rsidRPr="00093731" w:rsidRDefault="0031159D" w:rsidP="0031159D">
      <w:pPr>
        <w:jc w:val="center"/>
        <w:rPr>
          <w:rFonts w:ascii="Tahoma" w:hAnsi="Tahoma" w:cs="Tahoma"/>
          <w:b/>
          <w:bCs/>
          <w:u w:val="single"/>
        </w:rPr>
      </w:pPr>
      <w:r w:rsidRPr="00093731">
        <w:rPr>
          <w:rFonts w:ascii="Tahoma" w:hAnsi="Tahoma" w:cs="Tahoma"/>
          <w:b/>
          <w:bCs/>
          <w:u w:val="single"/>
        </w:rPr>
        <w:t>DU FLEURISSEMENT ET DE L’AMENAGEMENT DU CADRE DE VIE</w:t>
      </w:r>
    </w:p>
    <w:p w:rsidR="0031159D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31159D" w:rsidRPr="004E72F6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31159D" w:rsidRPr="004E72F6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93731">
        <w:rPr>
          <w:rFonts w:ascii="Tahoma" w:hAnsi="Tahoma" w:cs="Tahoma"/>
          <w:b/>
          <w:bCs/>
        </w:rPr>
        <w:t xml:space="preserve">- </w:t>
      </w:r>
      <w:r w:rsidRPr="00093731">
        <w:rPr>
          <w:rFonts w:ascii="Tahoma" w:hAnsi="Tahoma" w:cs="Tahoma"/>
          <w:b/>
          <w:bCs/>
          <w:u w:val="single"/>
        </w:rPr>
        <w:t>REGLEMENT</w:t>
      </w:r>
      <w:r w:rsidRPr="004E72F6">
        <w:rPr>
          <w:rFonts w:ascii="Tahoma" w:hAnsi="Tahoma" w:cs="Tahoma"/>
          <w:b/>
          <w:bCs/>
          <w:sz w:val="20"/>
          <w:szCs w:val="20"/>
        </w:rPr>
        <w:t xml:space="preserve"> -</w:t>
      </w:r>
    </w:p>
    <w:p w:rsidR="0031159D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1159D" w:rsidRPr="004E72F6" w:rsidRDefault="0031159D" w:rsidP="0031159D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sz w:val="20"/>
          <w:szCs w:val="20"/>
        </w:rPr>
        <w:t>Le concours départemental du fleurissement et de l’aménagement du cadre de vie a pour objet de récompenser les actions menées par les collectivités locales en faveur de l’</w:t>
      </w:r>
      <w:r>
        <w:rPr>
          <w:rFonts w:ascii="Tahoma" w:hAnsi="Tahoma" w:cs="Tahoma"/>
          <w:sz w:val="20"/>
          <w:szCs w:val="20"/>
        </w:rPr>
        <w:t>amélioration</w:t>
      </w:r>
      <w:r w:rsidRPr="004E72F6">
        <w:rPr>
          <w:rFonts w:ascii="Tahoma" w:hAnsi="Tahoma" w:cs="Tahoma"/>
          <w:sz w:val="20"/>
          <w:szCs w:val="20"/>
        </w:rPr>
        <w:t xml:space="preserve"> du cadre de vie.</w:t>
      </w: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sz w:val="20"/>
          <w:szCs w:val="20"/>
        </w:rPr>
        <w:t>Valorisant ainsi l’attrait touristique de l’Aveyron, ces actions contribuent à la création d’un environnement favorable à l’accueil et au séjour, tant des habitants que des touristes.</w:t>
      </w:r>
    </w:p>
    <w:p w:rsidR="0031159D" w:rsidRPr="004E72F6" w:rsidRDefault="0031159D" w:rsidP="0031159D">
      <w:pPr>
        <w:ind w:firstLine="900"/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ind w:firstLine="900"/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sz w:val="20"/>
          <w:szCs w:val="20"/>
        </w:rPr>
        <w:t xml:space="preserve">Cet objectif d’embellissement s’inscrit dans le cadre du développement durable en mettant l’accent sur les actions </w:t>
      </w:r>
      <w:proofErr w:type="spellStart"/>
      <w:r w:rsidRPr="004E72F6">
        <w:rPr>
          <w:rFonts w:ascii="Tahoma" w:hAnsi="Tahoma" w:cs="Tahoma"/>
          <w:sz w:val="20"/>
          <w:szCs w:val="20"/>
        </w:rPr>
        <w:t>éco-environnementales</w:t>
      </w:r>
      <w:proofErr w:type="spellEnd"/>
      <w:r w:rsidRPr="004E72F6">
        <w:rPr>
          <w:rFonts w:ascii="Tahoma" w:hAnsi="Tahoma" w:cs="Tahoma"/>
          <w:sz w:val="20"/>
          <w:szCs w:val="20"/>
        </w:rPr>
        <w:t>, de propreté et de qualité de cadre de vie.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b/>
          <w:bCs/>
          <w:sz w:val="20"/>
          <w:szCs w:val="20"/>
        </w:rPr>
        <w:t xml:space="preserve">Article 1 – </w:t>
      </w:r>
      <w:r w:rsidRPr="004E72F6">
        <w:rPr>
          <w:rFonts w:ascii="Tahoma" w:hAnsi="Tahoma" w:cs="Tahoma"/>
          <w:sz w:val="20"/>
          <w:szCs w:val="20"/>
        </w:rPr>
        <w:t xml:space="preserve">Dans le cadre de la campagne annuelle de fleurissement de la France lancée par le </w:t>
      </w:r>
      <w:r>
        <w:rPr>
          <w:rFonts w:ascii="Tahoma" w:hAnsi="Tahoma" w:cs="Tahoma"/>
          <w:sz w:val="20"/>
          <w:szCs w:val="20"/>
        </w:rPr>
        <w:t>Conseil National des Villes et Villages Fleuris (CNVVF)</w:t>
      </w:r>
      <w:r w:rsidRPr="004E72F6">
        <w:rPr>
          <w:rFonts w:ascii="Tahoma" w:hAnsi="Tahoma" w:cs="Tahoma"/>
          <w:sz w:val="20"/>
          <w:szCs w:val="20"/>
        </w:rPr>
        <w:t xml:space="preserve">, le Conseil Général de l’Aveyron organise le concours départemental </w:t>
      </w:r>
      <w:r>
        <w:rPr>
          <w:rFonts w:ascii="Tahoma" w:hAnsi="Tahoma" w:cs="Tahoma"/>
          <w:sz w:val="20"/>
          <w:szCs w:val="20"/>
        </w:rPr>
        <w:t>du Fleurissement et de l’aménagement du cadre de vie</w:t>
      </w:r>
      <w:r>
        <w:rPr>
          <w:rFonts w:ascii="Tahoma" w:hAnsi="Tahoma" w:cs="Tahoma"/>
          <w:b/>
          <w:sz w:val="20"/>
          <w:szCs w:val="20"/>
        </w:rPr>
        <w:t>.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b/>
          <w:bCs/>
          <w:sz w:val="20"/>
          <w:szCs w:val="20"/>
        </w:rPr>
        <w:t>Article 2</w:t>
      </w:r>
      <w:r w:rsidRPr="004E72F6">
        <w:rPr>
          <w:rFonts w:ascii="Tahoma" w:hAnsi="Tahoma" w:cs="Tahoma"/>
          <w:sz w:val="20"/>
          <w:szCs w:val="20"/>
        </w:rPr>
        <w:t xml:space="preserve"> – Le Président du Conseil Général désigne par arrêté un jury composé de représentants des collectivités</w:t>
      </w:r>
      <w:r>
        <w:rPr>
          <w:rFonts w:ascii="Tahoma" w:hAnsi="Tahoma" w:cs="Tahoma"/>
          <w:sz w:val="20"/>
          <w:szCs w:val="20"/>
        </w:rPr>
        <w:t>,</w:t>
      </w:r>
      <w:r w:rsidRPr="004E72F6">
        <w:rPr>
          <w:rFonts w:ascii="Tahoma" w:hAnsi="Tahoma" w:cs="Tahoma"/>
          <w:sz w:val="20"/>
          <w:szCs w:val="20"/>
        </w:rPr>
        <w:t xml:space="preserve"> communes</w:t>
      </w:r>
      <w:r>
        <w:rPr>
          <w:rFonts w:ascii="Tahoma" w:hAnsi="Tahoma" w:cs="Tahoma"/>
          <w:sz w:val="20"/>
          <w:szCs w:val="20"/>
        </w:rPr>
        <w:t xml:space="preserve"> et département, et de professionnels ou personnalités qualifiées dans les domaines du tourisme, de l’horticulture, du paysage et de l’environnement. </w:t>
      </w:r>
      <w:r w:rsidRPr="004E72F6">
        <w:rPr>
          <w:rFonts w:ascii="Tahoma" w:hAnsi="Tahoma" w:cs="Tahoma"/>
          <w:sz w:val="20"/>
          <w:szCs w:val="20"/>
        </w:rPr>
        <w:t>Il est présidé par le Président du Conseil Général ou par un conseiller général désigné par lui.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E72F6">
        <w:rPr>
          <w:rFonts w:ascii="Tahoma" w:hAnsi="Tahoma" w:cs="Tahoma"/>
          <w:b/>
          <w:bCs/>
          <w:sz w:val="20"/>
          <w:szCs w:val="20"/>
        </w:rPr>
        <w:t>Article 3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E72F6">
        <w:rPr>
          <w:rFonts w:ascii="Tahoma" w:hAnsi="Tahoma" w:cs="Tahoma"/>
          <w:b/>
          <w:bCs/>
          <w:sz w:val="20"/>
          <w:szCs w:val="20"/>
        </w:rPr>
        <w:t>- CONCOURS DEPARTEMENTAL DES VILLES ET VILLAGES FLEURIS</w:t>
      </w:r>
    </w:p>
    <w:p w:rsidR="0031159D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4E72F6">
        <w:rPr>
          <w:rFonts w:ascii="Tahoma" w:hAnsi="Tahoma" w:cs="Tahoma"/>
          <w:b/>
          <w:bCs/>
          <w:sz w:val="20"/>
          <w:szCs w:val="20"/>
          <w:u w:val="single"/>
        </w:rPr>
        <w:t>Candidatures :</w:t>
      </w:r>
    </w:p>
    <w:p w:rsidR="0031159D" w:rsidRPr="004E72F6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sz w:val="20"/>
          <w:szCs w:val="20"/>
        </w:rPr>
        <w:t>Le concours est ouvert à toutes les communes du département : les maires font acte de candidature auprès du Conseil Général.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sz w:val="20"/>
          <w:szCs w:val="20"/>
        </w:rPr>
        <w:t>Les communes ayant fait l’objet d’une distinction par le Comité régional, 1, 2 ou 3 fleurs ou par le Comité national, 4 fleurs, figurent au palmarès du Département en tant que communes labellisées et ne peuvent concourir que pour les prix spéciaux départementaux créés à l’initiative et au gré du Département.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C</w:t>
      </w:r>
      <w:r w:rsidRPr="004E72F6">
        <w:rPr>
          <w:rFonts w:ascii="Tahoma" w:hAnsi="Tahoma" w:cs="Tahoma"/>
          <w:b/>
          <w:bCs/>
          <w:sz w:val="20"/>
          <w:szCs w:val="20"/>
          <w:u w:val="single"/>
        </w:rPr>
        <w:t>ritères de sélection :</w:t>
      </w:r>
    </w:p>
    <w:p w:rsidR="0031159D" w:rsidRPr="004E72F6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sz w:val="20"/>
          <w:szCs w:val="20"/>
        </w:rPr>
        <w:t xml:space="preserve">La sélection départementale s’effectue en tenant compte de la dimension de la commune, de sa population et de ses spécificités, et </w:t>
      </w:r>
      <w:r>
        <w:rPr>
          <w:rFonts w:ascii="Tahoma" w:hAnsi="Tahoma" w:cs="Tahoma"/>
          <w:sz w:val="20"/>
          <w:szCs w:val="20"/>
        </w:rPr>
        <w:t>en se rapprochant des</w:t>
      </w:r>
      <w:r w:rsidRPr="004E72F6">
        <w:rPr>
          <w:rFonts w:ascii="Tahoma" w:hAnsi="Tahoma" w:cs="Tahoma"/>
          <w:sz w:val="20"/>
          <w:szCs w:val="20"/>
        </w:rPr>
        <w:t xml:space="preserve"> critères</w:t>
      </w:r>
      <w:r>
        <w:rPr>
          <w:rFonts w:ascii="Tahoma" w:hAnsi="Tahoma" w:cs="Tahoma"/>
          <w:sz w:val="20"/>
          <w:szCs w:val="20"/>
        </w:rPr>
        <w:t xml:space="preserve"> nationaux</w:t>
      </w:r>
      <w:r w:rsidRPr="00D51485">
        <w:rPr>
          <w:rFonts w:ascii="Tahoma" w:hAnsi="Tahoma" w:cs="Tahoma"/>
          <w:sz w:val="20"/>
          <w:szCs w:val="20"/>
        </w:rPr>
        <w:t xml:space="preserve"> </w:t>
      </w:r>
      <w:r w:rsidRPr="004E72F6">
        <w:rPr>
          <w:rFonts w:ascii="Tahoma" w:hAnsi="Tahoma" w:cs="Tahoma"/>
          <w:sz w:val="20"/>
          <w:szCs w:val="20"/>
        </w:rPr>
        <w:t>suivants</w:t>
      </w:r>
      <w:r>
        <w:rPr>
          <w:rFonts w:ascii="Tahoma" w:hAnsi="Tahoma" w:cs="Tahoma"/>
          <w:sz w:val="20"/>
          <w:szCs w:val="20"/>
        </w:rPr>
        <w:t>,</w:t>
      </w:r>
      <w:r w:rsidRPr="004E72F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établis par le CNVVF en 2013</w:t>
      </w:r>
      <w:r w:rsidRPr="004E72F6">
        <w:rPr>
          <w:rFonts w:ascii="Tahoma" w:hAnsi="Tahoma" w:cs="Tahoma"/>
          <w:sz w:val="20"/>
          <w:szCs w:val="20"/>
        </w:rPr>
        <w:t> :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F951A8" w:rsidRDefault="002B49EA" w:rsidP="002B49EA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2B49EA">
        <w:rPr>
          <w:rFonts w:ascii="Tahoma" w:hAnsi="Tahoma" w:cs="Tahoma"/>
          <w:b/>
          <w:bCs/>
          <w:sz w:val="20"/>
          <w:szCs w:val="20"/>
        </w:rPr>
        <w:lastRenderedPageBreak/>
        <w:t xml:space="preserve">                                         </w:t>
      </w:r>
      <w:r w:rsidR="0031159D" w:rsidRPr="00F951A8">
        <w:rPr>
          <w:rFonts w:ascii="Tahoma" w:hAnsi="Tahoma" w:cs="Tahoma"/>
          <w:b/>
          <w:bCs/>
          <w:sz w:val="20"/>
          <w:szCs w:val="20"/>
          <w:u w:val="single"/>
        </w:rPr>
        <w:t>La Démarche de valorisation</w:t>
      </w:r>
    </w:p>
    <w:p w:rsidR="0031159D" w:rsidRPr="00F951A8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22"/>
      </w:tblGrid>
      <w:tr w:rsidR="0031159D" w:rsidRPr="00AE218E" w:rsidTr="0027122F">
        <w:tc>
          <w:tcPr>
            <w:tcW w:w="3888" w:type="dxa"/>
            <w:shd w:val="clear" w:color="auto" w:fill="auto"/>
          </w:tcPr>
          <w:p w:rsidR="0031159D" w:rsidRPr="00AE218E" w:rsidRDefault="0031159D" w:rsidP="0027122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sz w:val="20"/>
                <w:szCs w:val="20"/>
              </w:rPr>
              <w:t>Présentation des motivations pour l'obtention du label par le maire</w:t>
            </w:r>
          </w:p>
        </w:tc>
        <w:tc>
          <w:tcPr>
            <w:tcW w:w="532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Connaissance et prise en compte des exigences du label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 xml:space="preserve">Connaissance et prise en compte du contexte </w:t>
            </w:r>
            <w:proofErr w:type="gramStart"/>
            <w:r w:rsidRPr="00AE218E">
              <w:rPr>
                <w:rFonts w:ascii="Tahoma" w:hAnsi="Tahoma" w:cs="Tahoma"/>
                <w:sz w:val="20"/>
                <w:szCs w:val="20"/>
              </w:rPr>
              <w:t>local</w:t>
            </w:r>
            <w:proofErr w:type="gramEnd"/>
            <w:r w:rsidRPr="00AE218E">
              <w:rPr>
                <w:rFonts w:ascii="Tahoma" w:hAnsi="Tahoma" w:cs="Tahoma"/>
                <w:sz w:val="20"/>
                <w:szCs w:val="20"/>
              </w:rPr>
              <w:br/>
              <w:t>(culturel, économique, social, environnemental…)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59D" w:rsidRPr="0027122F" w:rsidTr="0027122F">
        <w:tc>
          <w:tcPr>
            <w:tcW w:w="3888" w:type="dxa"/>
            <w:shd w:val="clear" w:color="auto" w:fill="auto"/>
          </w:tcPr>
          <w:p w:rsidR="0031159D" w:rsidRPr="00AE218E" w:rsidRDefault="0031159D" w:rsidP="0027122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sz w:val="20"/>
                <w:szCs w:val="20"/>
              </w:rPr>
              <w:t>Stratégie d'aménagement paysager et de fleurissement</w:t>
            </w:r>
          </w:p>
        </w:tc>
        <w:tc>
          <w:tcPr>
            <w:tcW w:w="5322" w:type="dxa"/>
            <w:shd w:val="clear" w:color="auto" w:fill="auto"/>
          </w:tcPr>
          <w:p w:rsidR="0031159D" w:rsidRPr="00AE218E" w:rsidRDefault="0031159D" w:rsidP="0027122F">
            <w:pPr>
              <w:ind w:left="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Cohérence entre le projet, sa réalisation et sa gestion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Prise en compte du paysage dans le projet d'aménagement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Présence du végétal toute l'année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59D" w:rsidRPr="00AE218E" w:rsidTr="0027122F">
        <w:tc>
          <w:tcPr>
            <w:tcW w:w="3888" w:type="dxa"/>
            <w:shd w:val="clear" w:color="auto" w:fill="auto"/>
          </w:tcPr>
          <w:p w:rsidR="0031159D" w:rsidRPr="0027122F" w:rsidRDefault="0031159D" w:rsidP="0027122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>Stratégie de gestion</w:t>
            </w: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2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122F">
              <w:rPr>
                <w:rFonts w:ascii="Tahoma" w:hAnsi="Tahoma" w:cs="Tahoma"/>
                <w:sz w:val="20"/>
                <w:szCs w:val="20"/>
              </w:rPr>
              <w:t>Présence et c</w:t>
            </w:r>
            <w:r w:rsidRPr="00AE218E">
              <w:rPr>
                <w:rFonts w:ascii="Tahoma" w:hAnsi="Tahoma" w:cs="Tahoma"/>
                <w:sz w:val="20"/>
                <w:szCs w:val="20"/>
              </w:rPr>
              <w:t>ohérence de modes de gestion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Pertinence de la gestion en fonction des lieux</w:t>
            </w:r>
          </w:p>
        </w:tc>
      </w:tr>
    </w:tbl>
    <w:p w:rsidR="0031159D" w:rsidRPr="00F951A8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A975D0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571F32">
        <w:rPr>
          <w:rFonts w:ascii="Tahoma" w:hAnsi="Tahoma" w:cs="Tahoma"/>
          <w:b/>
          <w:bCs/>
          <w:sz w:val="20"/>
          <w:szCs w:val="20"/>
          <w:u w:val="single"/>
        </w:rPr>
        <w:t>Animatio</w:t>
      </w:r>
      <w:r w:rsidRPr="00A975D0">
        <w:rPr>
          <w:rFonts w:ascii="Tahoma" w:hAnsi="Tahoma" w:cs="Tahoma"/>
          <w:b/>
          <w:bCs/>
          <w:sz w:val="20"/>
          <w:szCs w:val="20"/>
          <w:u w:val="single"/>
        </w:rPr>
        <w:t>n et promotion de la démarche</w:t>
      </w:r>
    </w:p>
    <w:p w:rsidR="0031159D" w:rsidRPr="00607F96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27122F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22"/>
      </w:tblGrid>
      <w:tr w:rsidR="0031159D" w:rsidRPr="0027122F" w:rsidTr="0027122F">
        <w:tc>
          <w:tcPr>
            <w:tcW w:w="3888" w:type="dxa"/>
            <w:shd w:val="clear" w:color="auto" w:fill="auto"/>
          </w:tcPr>
          <w:p w:rsidR="0031159D" w:rsidRPr="00AE218E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>Action vers la popula</w:t>
            </w:r>
            <w:r w:rsidRPr="00AE218E">
              <w:rPr>
                <w:rFonts w:ascii="Tahoma" w:hAnsi="Tahoma" w:cs="Tahoma"/>
                <w:b/>
                <w:bCs/>
                <w:sz w:val="20"/>
                <w:szCs w:val="20"/>
              </w:rPr>
              <w:t>tion</w:t>
            </w:r>
          </w:p>
          <w:p w:rsidR="0031159D" w:rsidRPr="00AE218E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Information, concertation, animation, promotion du label</w:t>
            </w:r>
          </w:p>
        </w:tc>
      </w:tr>
      <w:tr w:rsidR="0031159D" w:rsidRPr="0027122F" w:rsidTr="0027122F">
        <w:tc>
          <w:tcPr>
            <w:tcW w:w="3888" w:type="dxa"/>
            <w:shd w:val="clear" w:color="auto" w:fill="auto"/>
          </w:tcPr>
          <w:p w:rsidR="0031159D" w:rsidRPr="00AE218E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>Actions vers les touristes</w:t>
            </w:r>
          </w:p>
          <w:p w:rsidR="0031159D" w:rsidRPr="00AE218E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auto"/>
          </w:tcPr>
          <w:p w:rsidR="0031159D" w:rsidRPr="00AE218E" w:rsidRDefault="0031159D" w:rsidP="0027122F">
            <w:pPr>
              <w:ind w:left="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Information, animation, promotion du label</w:t>
            </w:r>
          </w:p>
        </w:tc>
      </w:tr>
      <w:tr w:rsidR="0031159D" w:rsidRPr="0027122F" w:rsidTr="0027122F">
        <w:tc>
          <w:tcPr>
            <w:tcW w:w="3888" w:type="dxa"/>
            <w:shd w:val="clear" w:color="auto" w:fill="auto"/>
          </w:tcPr>
          <w:p w:rsidR="0031159D" w:rsidRPr="0027122F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>Actions vers les services municipaux</w:t>
            </w:r>
          </w:p>
          <w:p w:rsidR="0031159D" w:rsidRPr="0027122F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auto"/>
          </w:tcPr>
          <w:p w:rsidR="0031159D" w:rsidRPr="0027122F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122F">
              <w:rPr>
                <w:rFonts w:ascii="Tahoma" w:hAnsi="Tahoma" w:cs="Tahoma"/>
                <w:sz w:val="20"/>
                <w:szCs w:val="20"/>
              </w:rPr>
              <w:t>Information, concertation, coproduction</w:t>
            </w:r>
          </w:p>
        </w:tc>
      </w:tr>
      <w:tr w:rsidR="0031159D" w:rsidRPr="0027122F" w:rsidTr="0027122F">
        <w:tc>
          <w:tcPr>
            <w:tcW w:w="3888" w:type="dxa"/>
            <w:shd w:val="clear" w:color="auto" w:fill="auto"/>
          </w:tcPr>
          <w:p w:rsidR="0031159D" w:rsidRPr="00AE218E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>Action vers les autres gestionnaires de l'espace public</w:t>
            </w:r>
          </w:p>
          <w:p w:rsidR="0031159D" w:rsidRPr="00AE218E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Information, concertation, coproduction</w:t>
            </w:r>
          </w:p>
        </w:tc>
      </w:tr>
      <w:tr w:rsidR="0031159D" w:rsidRPr="0027122F" w:rsidTr="0027122F">
        <w:tc>
          <w:tcPr>
            <w:tcW w:w="3888" w:type="dxa"/>
            <w:shd w:val="clear" w:color="auto" w:fill="auto"/>
          </w:tcPr>
          <w:p w:rsidR="0031159D" w:rsidRPr="00AE218E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>Action vers des associations, écoles, maison de retraite …</w:t>
            </w:r>
          </w:p>
          <w:p w:rsidR="0031159D" w:rsidRPr="00AE218E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2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Information, concertation, coproduction</w:t>
            </w:r>
          </w:p>
        </w:tc>
      </w:tr>
      <w:tr w:rsidR="0031159D" w:rsidRPr="0027122F" w:rsidTr="0027122F">
        <w:tc>
          <w:tcPr>
            <w:tcW w:w="3888" w:type="dxa"/>
            <w:shd w:val="clear" w:color="auto" w:fill="auto"/>
          </w:tcPr>
          <w:p w:rsidR="0031159D" w:rsidRPr="0027122F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>Action vers et avec les bénévoles</w:t>
            </w:r>
          </w:p>
        </w:tc>
        <w:tc>
          <w:tcPr>
            <w:tcW w:w="5322" w:type="dxa"/>
            <w:shd w:val="clear" w:color="auto" w:fill="auto"/>
          </w:tcPr>
          <w:p w:rsidR="0031159D" w:rsidRPr="0027122F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122F">
              <w:rPr>
                <w:rFonts w:ascii="Tahoma" w:hAnsi="Tahoma" w:cs="Tahoma"/>
                <w:sz w:val="20"/>
                <w:szCs w:val="20"/>
              </w:rPr>
              <w:t>Information, concertation, coproduction</w:t>
            </w:r>
          </w:p>
        </w:tc>
      </w:tr>
    </w:tbl>
    <w:p w:rsidR="0031159D" w:rsidRPr="00F951A8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F951A8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F951A8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951A8">
        <w:rPr>
          <w:rFonts w:ascii="Tahoma" w:hAnsi="Tahoma" w:cs="Tahoma"/>
          <w:b/>
          <w:bCs/>
          <w:sz w:val="20"/>
          <w:szCs w:val="20"/>
          <w:u w:val="single"/>
        </w:rPr>
        <w:t>Patrimoine végétal et fleurissement</w:t>
      </w:r>
    </w:p>
    <w:p w:rsidR="0031159D" w:rsidRPr="00F951A8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571F32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571F32">
        <w:rPr>
          <w:rFonts w:ascii="Tahoma" w:hAnsi="Tahoma" w:cs="Tahoma"/>
          <w:sz w:val="20"/>
          <w:szCs w:val="20"/>
        </w:rPr>
        <w:t>Quelle que soit la taille de la commune, le jury départemental privilégiera la mise en valeur du patrimoine paysager et végétal par rapport au fleurissement proprement dit.</w:t>
      </w:r>
    </w:p>
    <w:p w:rsidR="0031159D" w:rsidRPr="00A975D0" w:rsidRDefault="0031159D" w:rsidP="0031159D">
      <w:pPr>
        <w:ind w:left="4950" w:hanging="495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582"/>
      </w:tblGrid>
      <w:tr w:rsidR="0031159D" w:rsidRPr="0027122F" w:rsidTr="0027122F">
        <w:tc>
          <w:tcPr>
            <w:tcW w:w="2628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bCs/>
                <w:sz w:val="20"/>
                <w:szCs w:val="20"/>
              </w:rPr>
              <w:t>Arbres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Diversité botanique</w:t>
            </w:r>
          </w:p>
          <w:p w:rsidR="0031159D" w:rsidRPr="00AE218E" w:rsidRDefault="0031159D" w:rsidP="0027122F">
            <w:pPr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 xml:space="preserve">Pertinence des plantations (choix des variétés et des techniques) </w:t>
            </w:r>
            <w:r w:rsidRPr="00AE218E">
              <w:rPr>
                <w:rFonts w:ascii="Tahoma" w:hAnsi="Tahoma" w:cs="Tahoma"/>
                <w:sz w:val="20"/>
                <w:szCs w:val="20"/>
              </w:rPr>
              <w:br/>
              <w:t>en fonction des lieux</w:t>
            </w:r>
          </w:p>
          <w:p w:rsidR="0031159D" w:rsidRPr="00AE218E" w:rsidRDefault="0031159D" w:rsidP="0027122F">
            <w:pPr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Qualité d'entretien et mesures de protection</w:t>
            </w:r>
          </w:p>
          <w:p w:rsidR="0031159D" w:rsidRPr="00AE218E" w:rsidRDefault="0031159D" w:rsidP="0027122F">
            <w:pPr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Renouvellement</w:t>
            </w:r>
          </w:p>
          <w:p w:rsidR="0031159D" w:rsidRPr="00AE218E" w:rsidRDefault="0031159D" w:rsidP="0027122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59D" w:rsidRPr="0027122F" w:rsidTr="0027122F">
        <w:tc>
          <w:tcPr>
            <w:tcW w:w="2628" w:type="dxa"/>
            <w:shd w:val="clear" w:color="auto" w:fill="auto"/>
          </w:tcPr>
          <w:p w:rsidR="0031159D" w:rsidRPr="0027122F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>Arbustes, plantes grimpantes</w:t>
            </w: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Diversité botanique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Pertinence des plantations (choix des variétés et des techniques)</w:t>
            </w:r>
            <w:r w:rsidRPr="00AE218E">
              <w:rPr>
                <w:rFonts w:ascii="Tahoma" w:hAnsi="Tahoma" w:cs="Tahoma"/>
                <w:sz w:val="20"/>
                <w:szCs w:val="20"/>
              </w:rPr>
              <w:br/>
              <w:t xml:space="preserve"> en fonction des lieux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Qualité d'entretien (taille notamment)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Renouvellement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59D" w:rsidRPr="0027122F" w:rsidTr="0027122F">
        <w:tc>
          <w:tcPr>
            <w:tcW w:w="2628" w:type="dxa"/>
            <w:shd w:val="clear" w:color="auto" w:fill="auto"/>
          </w:tcPr>
          <w:p w:rsidR="0031159D" w:rsidRPr="00AE218E" w:rsidRDefault="0031159D" w:rsidP="0027122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bCs/>
                <w:sz w:val="20"/>
                <w:szCs w:val="20"/>
              </w:rPr>
              <w:t>Pelouse, prairies, couvre-sols…</w:t>
            </w: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Pertinences des plantations (choix des variétés en fonction des lieux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Qualité d'entretien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59D" w:rsidRPr="0027122F" w:rsidTr="0027122F">
        <w:tc>
          <w:tcPr>
            <w:tcW w:w="2628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bCs/>
                <w:sz w:val="20"/>
                <w:szCs w:val="20"/>
              </w:rPr>
              <w:t>Fleurissement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Diversité botanique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Pertinences des compositions (choix des variétés et des techniques)</w:t>
            </w:r>
            <w:r w:rsidRPr="00AE218E">
              <w:rPr>
                <w:rFonts w:ascii="Tahoma" w:hAnsi="Tahoma" w:cs="Tahoma"/>
                <w:sz w:val="20"/>
                <w:szCs w:val="20"/>
              </w:rPr>
              <w:br/>
              <w:t xml:space="preserve"> en fonction des lieux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Créativité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Harmonie des compositions (association végétale, couleurs, volume)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Qualité d'entretien</w:t>
            </w:r>
          </w:p>
        </w:tc>
      </w:tr>
    </w:tbl>
    <w:p w:rsidR="0031159D" w:rsidRPr="0027122F" w:rsidRDefault="0031159D" w:rsidP="0031159D">
      <w:pPr>
        <w:ind w:left="4950" w:hanging="4950"/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ind w:left="4950" w:hanging="495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1159D" w:rsidRPr="00F951A8" w:rsidRDefault="0031159D" w:rsidP="0031159D">
      <w:pPr>
        <w:ind w:left="4950" w:hanging="4950"/>
        <w:jc w:val="both"/>
        <w:rPr>
          <w:rFonts w:ascii="Tahoma" w:hAnsi="Tahoma" w:cs="Tahoma"/>
          <w:sz w:val="20"/>
          <w:szCs w:val="20"/>
        </w:rPr>
      </w:pPr>
    </w:p>
    <w:p w:rsidR="00116AD0" w:rsidRDefault="00116AD0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F951A8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951A8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Gestion environnementale et qualité de l'espace public</w:t>
      </w:r>
    </w:p>
    <w:p w:rsidR="0031159D" w:rsidRPr="00571F32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A975D0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A975D0">
        <w:rPr>
          <w:rFonts w:ascii="Tahoma" w:hAnsi="Tahoma" w:cs="Tahoma"/>
          <w:sz w:val="20"/>
          <w:szCs w:val="20"/>
        </w:rPr>
        <w:t>La notation prend en considération l’amélioration de l’environnement et les pratiques aboutissant à un développement durable.</w:t>
      </w:r>
    </w:p>
    <w:p w:rsidR="0031159D" w:rsidRPr="00607F96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3168"/>
        <w:gridCol w:w="6582"/>
      </w:tblGrid>
      <w:tr w:rsidR="0031159D" w:rsidRPr="0027122F" w:rsidTr="0027122F">
        <w:tc>
          <w:tcPr>
            <w:tcW w:w="3168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bCs/>
                <w:sz w:val="20"/>
                <w:szCs w:val="20"/>
              </w:rPr>
              <w:t>Actions en faveur de la biodiversité</w:t>
            </w: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Connaissance et inventaire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Protection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Amélioration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Sensibilisation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59D" w:rsidRPr="0027122F" w:rsidTr="0027122F">
        <w:tc>
          <w:tcPr>
            <w:tcW w:w="3168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bCs/>
                <w:sz w:val="20"/>
                <w:szCs w:val="20"/>
              </w:rPr>
              <w:t>Actions en faveur des ressources naturelles</w:t>
            </w: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Sol (connaissance, protection, valorisation)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Eau (origine et économie de la ressource)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Intrants (réduction des produits de synthèse et solutions alternatives)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Déchets verts (limitation et valorisation)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Energie (réduction des consommations et solutions alternatives)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59D" w:rsidRPr="0027122F" w:rsidTr="0027122F">
        <w:tc>
          <w:tcPr>
            <w:tcW w:w="3168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bCs/>
                <w:sz w:val="20"/>
                <w:szCs w:val="20"/>
              </w:rPr>
              <w:t>Actions en faveur de la qualité de l'espace public</w:t>
            </w: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Maîtrise de la publicité et des enseignes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Rénovation et entretien des façades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Effacement des réseaux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Intégration du mobilier urbain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Qualité de la voirie et des circulations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Propreté</w:t>
            </w:r>
          </w:p>
        </w:tc>
      </w:tr>
    </w:tbl>
    <w:p w:rsidR="0031159D" w:rsidRPr="0027122F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27122F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27122F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7122F">
        <w:rPr>
          <w:rFonts w:ascii="Tahoma" w:hAnsi="Tahoma" w:cs="Tahoma"/>
          <w:b/>
          <w:bCs/>
          <w:sz w:val="20"/>
          <w:szCs w:val="20"/>
          <w:u w:val="single"/>
        </w:rPr>
        <w:t>Analyse par espace</w:t>
      </w:r>
    </w:p>
    <w:p w:rsidR="0031159D" w:rsidRPr="0027122F" w:rsidRDefault="0031159D" w:rsidP="0031159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W w:w="9930" w:type="dxa"/>
        <w:tblLook w:val="01E0" w:firstRow="1" w:lastRow="1" w:firstColumn="1" w:lastColumn="1" w:noHBand="0" w:noVBand="0"/>
      </w:tblPr>
      <w:tblGrid>
        <w:gridCol w:w="3348"/>
        <w:gridCol w:w="6582"/>
      </w:tblGrid>
      <w:tr w:rsidR="0031159D" w:rsidRPr="0027122F" w:rsidTr="0027122F">
        <w:tc>
          <w:tcPr>
            <w:tcW w:w="3348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bCs/>
                <w:sz w:val="20"/>
                <w:szCs w:val="20"/>
              </w:rPr>
              <w:t>Pertinence de l'aménagement paysager et de la gestion</w:t>
            </w: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Entrée de la commune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Centre de commune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Quartiers d'habitation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159D" w:rsidRPr="0027122F" w:rsidTr="0027122F">
        <w:tc>
          <w:tcPr>
            <w:tcW w:w="3348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122F">
              <w:rPr>
                <w:rFonts w:ascii="Tahoma" w:hAnsi="Tahoma" w:cs="Tahoma"/>
                <w:b/>
                <w:bCs/>
                <w:sz w:val="20"/>
                <w:szCs w:val="20"/>
              </w:rPr>
              <w:t>Pertinence</w:t>
            </w:r>
            <w:r w:rsidRPr="00AE218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 l'aménagement paysager et de la gestion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Parcs et jardins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Jardins à vocation sociale et pédagogique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Abords d'établissements publics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Cimetières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Espaces sportifs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Zones d'activité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Espaces naturels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Maillages et coulées vertes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Infrastructures de déplacement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218E">
              <w:rPr>
                <w:rFonts w:ascii="Tahoma" w:hAnsi="Tahoma" w:cs="Tahoma"/>
                <w:sz w:val="20"/>
                <w:szCs w:val="20"/>
              </w:rPr>
              <w:t>Autre espace</w:t>
            </w:r>
          </w:p>
        </w:tc>
      </w:tr>
    </w:tbl>
    <w:p w:rsidR="0031159D" w:rsidRPr="0027122F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27122F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F951A8" w:rsidRDefault="0031159D" w:rsidP="0031159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951A8">
        <w:rPr>
          <w:rFonts w:ascii="Arial" w:hAnsi="Arial" w:cs="Arial"/>
          <w:b/>
          <w:bCs/>
          <w:sz w:val="20"/>
          <w:szCs w:val="20"/>
          <w:u w:val="single"/>
        </w:rPr>
        <w:t>La visite du Jury</w:t>
      </w:r>
    </w:p>
    <w:p w:rsidR="0031159D" w:rsidRPr="00F951A8" w:rsidRDefault="0031159D" w:rsidP="0031159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5792" w:type="dxa"/>
        <w:tblLook w:val="01E0" w:firstRow="1" w:lastRow="1" w:firstColumn="1" w:lastColumn="1" w:noHBand="0" w:noVBand="0"/>
      </w:tblPr>
      <w:tblGrid>
        <w:gridCol w:w="9210"/>
        <w:gridCol w:w="6582"/>
      </w:tblGrid>
      <w:tr w:rsidR="0031159D" w:rsidRPr="00AE218E" w:rsidTr="006F2F51">
        <w:tc>
          <w:tcPr>
            <w:tcW w:w="9210" w:type="dxa"/>
            <w:shd w:val="clear" w:color="auto" w:fill="auto"/>
          </w:tcPr>
          <w:p w:rsidR="0031159D" w:rsidRPr="00AE218E" w:rsidRDefault="006F2F51" w:rsidP="0027122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Présence d'un binôme </w:t>
            </w:r>
            <w:r w:rsidR="0031159D" w:rsidRPr="00AE218E">
              <w:rPr>
                <w:rFonts w:ascii="Tahoma" w:hAnsi="Tahoma" w:cs="Tahoma"/>
                <w:b/>
                <w:sz w:val="20"/>
                <w:szCs w:val="20"/>
              </w:rPr>
              <w:t>élu et technicien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1159D" w:rsidRPr="00AE218E" w:rsidTr="006F2F51">
        <w:tc>
          <w:tcPr>
            <w:tcW w:w="9210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sz w:val="20"/>
                <w:szCs w:val="20"/>
              </w:rPr>
              <w:t>Organisation de la visite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1159D" w:rsidRPr="00AE218E" w:rsidTr="006F2F51">
        <w:tc>
          <w:tcPr>
            <w:tcW w:w="9210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E218E">
              <w:rPr>
                <w:rFonts w:ascii="Tahoma" w:hAnsi="Tahoma" w:cs="Tahoma"/>
                <w:b/>
                <w:sz w:val="20"/>
                <w:szCs w:val="20"/>
              </w:rPr>
              <w:t>Pertinence du circuit</w:t>
            </w: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82" w:type="dxa"/>
            <w:shd w:val="clear" w:color="auto" w:fill="auto"/>
          </w:tcPr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159D" w:rsidRPr="00AE218E" w:rsidRDefault="0031159D" w:rsidP="0027122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1159D" w:rsidRPr="00F951A8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1159D" w:rsidRPr="00D844AA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D844AA">
        <w:rPr>
          <w:rFonts w:ascii="Tahoma" w:hAnsi="Tahoma" w:cs="Tahoma"/>
          <w:sz w:val="20"/>
          <w:szCs w:val="20"/>
        </w:rPr>
        <w:t>Le jury attribue une note supplémentaire afin de prendre en compte la richesse communale basée sur le potentiel fiscal par habitant</w:t>
      </w:r>
      <w:r>
        <w:rPr>
          <w:rFonts w:ascii="Tahoma" w:hAnsi="Tahoma" w:cs="Tahoma"/>
          <w:sz w:val="20"/>
          <w:szCs w:val="20"/>
        </w:rPr>
        <w:t>.</w:t>
      </w:r>
    </w:p>
    <w:p w:rsidR="0031159D" w:rsidRPr="00F951A8" w:rsidRDefault="0031159D" w:rsidP="0031159D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159D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br w:type="page"/>
      </w:r>
    </w:p>
    <w:p w:rsidR="0031159D" w:rsidRPr="004E72F6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4E72F6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Catégories de communes :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sz w:val="20"/>
          <w:szCs w:val="20"/>
        </w:rPr>
        <w:t xml:space="preserve">Les communes sont regroupées en </w:t>
      </w:r>
      <w:r w:rsidR="00583AD0">
        <w:rPr>
          <w:rFonts w:ascii="Tahoma" w:hAnsi="Tahoma" w:cs="Tahoma"/>
          <w:sz w:val="20"/>
          <w:szCs w:val="20"/>
        </w:rPr>
        <w:t>six</w:t>
      </w:r>
      <w:r w:rsidRPr="004E72F6">
        <w:rPr>
          <w:rFonts w:ascii="Tahoma" w:hAnsi="Tahoma" w:cs="Tahoma"/>
          <w:sz w:val="20"/>
          <w:szCs w:val="20"/>
        </w:rPr>
        <w:t xml:space="preserve"> catégories :</w:t>
      </w: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2B039D" w:rsidRDefault="0031159D" w:rsidP="0031159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>1</w:t>
      </w:r>
      <w:r w:rsidRPr="002B039D"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>ère</w:t>
      </w: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 xml:space="preserve"> catégorie</w:t>
      </w:r>
      <w:r w:rsidRPr="002B039D">
        <w:rPr>
          <w:rFonts w:ascii="Tahoma" w:hAnsi="Tahoma" w:cs="Tahoma"/>
          <w:sz w:val="20"/>
          <w:szCs w:val="20"/>
        </w:rPr>
        <w:t> : communes dont la populat</w:t>
      </w:r>
      <w:r w:rsidR="00583AD0" w:rsidRPr="002B039D">
        <w:rPr>
          <w:rFonts w:ascii="Tahoma" w:hAnsi="Tahoma" w:cs="Tahoma"/>
          <w:sz w:val="20"/>
          <w:szCs w:val="20"/>
        </w:rPr>
        <w:t>ion est inférieure ou égale à 35</w:t>
      </w:r>
      <w:r w:rsidRPr="002B039D">
        <w:rPr>
          <w:rFonts w:ascii="Tahoma" w:hAnsi="Tahoma" w:cs="Tahoma"/>
          <w:sz w:val="20"/>
          <w:szCs w:val="20"/>
        </w:rPr>
        <w:t>0 habitants</w:t>
      </w:r>
    </w:p>
    <w:p w:rsidR="0031159D" w:rsidRPr="002B03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2B039D" w:rsidRDefault="0031159D" w:rsidP="0031159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>2</w:t>
      </w:r>
      <w:r w:rsidRPr="002B039D"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>ème</w:t>
      </w: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 xml:space="preserve"> catégorie</w:t>
      </w:r>
      <w:r w:rsidRPr="002B039D">
        <w:rPr>
          <w:rFonts w:ascii="Tahoma" w:hAnsi="Tahoma" w:cs="Tahoma"/>
          <w:sz w:val="20"/>
          <w:szCs w:val="20"/>
        </w:rPr>
        <w:t xml:space="preserve"> : communes dont la </w:t>
      </w:r>
      <w:r w:rsidR="00583AD0" w:rsidRPr="002B039D">
        <w:rPr>
          <w:rFonts w:ascii="Tahoma" w:hAnsi="Tahoma" w:cs="Tahoma"/>
          <w:sz w:val="20"/>
          <w:szCs w:val="20"/>
        </w:rPr>
        <w:t>population est comprise entre 35</w:t>
      </w:r>
      <w:r w:rsidRPr="002B039D">
        <w:rPr>
          <w:rFonts w:ascii="Tahoma" w:hAnsi="Tahoma" w:cs="Tahoma"/>
          <w:sz w:val="20"/>
          <w:szCs w:val="20"/>
        </w:rPr>
        <w:t>1 et 500 habitants</w:t>
      </w:r>
    </w:p>
    <w:p w:rsidR="0031159D" w:rsidRPr="002B03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2B039D" w:rsidRDefault="0031159D" w:rsidP="0031159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2B039D"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>ème</w:t>
      </w: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 xml:space="preserve"> catégorie</w:t>
      </w:r>
      <w:r w:rsidRPr="002B039D">
        <w:rPr>
          <w:rFonts w:ascii="Tahoma" w:hAnsi="Tahoma" w:cs="Tahoma"/>
          <w:sz w:val="20"/>
          <w:szCs w:val="20"/>
        </w:rPr>
        <w:t xml:space="preserve"> : communes dont la population est comprise entre 501 et </w:t>
      </w:r>
      <w:r w:rsidR="00583AD0" w:rsidRPr="002B039D">
        <w:rPr>
          <w:rFonts w:ascii="Tahoma" w:hAnsi="Tahoma" w:cs="Tahoma"/>
          <w:sz w:val="20"/>
          <w:szCs w:val="20"/>
        </w:rPr>
        <w:t>700</w:t>
      </w:r>
      <w:r w:rsidRPr="002B039D">
        <w:rPr>
          <w:rFonts w:ascii="Tahoma" w:hAnsi="Tahoma" w:cs="Tahoma"/>
          <w:sz w:val="20"/>
          <w:szCs w:val="20"/>
        </w:rPr>
        <w:t xml:space="preserve"> habitants</w:t>
      </w:r>
    </w:p>
    <w:p w:rsidR="0031159D" w:rsidRPr="002B03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2B039D" w:rsidRDefault="0031159D" w:rsidP="0031159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2B039D"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>ème</w:t>
      </w: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 xml:space="preserve"> catégorie</w:t>
      </w:r>
      <w:r w:rsidRPr="002B039D">
        <w:rPr>
          <w:rFonts w:ascii="Tahoma" w:hAnsi="Tahoma" w:cs="Tahoma"/>
          <w:sz w:val="20"/>
          <w:szCs w:val="20"/>
        </w:rPr>
        <w:t xml:space="preserve"> : communes dont la population est comprise entre </w:t>
      </w:r>
      <w:r w:rsidR="00583AD0" w:rsidRPr="002B039D">
        <w:rPr>
          <w:rFonts w:ascii="Tahoma" w:hAnsi="Tahoma" w:cs="Tahoma"/>
          <w:sz w:val="20"/>
          <w:szCs w:val="20"/>
        </w:rPr>
        <w:t>701</w:t>
      </w:r>
      <w:r w:rsidRPr="002B039D">
        <w:rPr>
          <w:rFonts w:ascii="Tahoma" w:hAnsi="Tahoma" w:cs="Tahoma"/>
          <w:sz w:val="20"/>
          <w:szCs w:val="20"/>
        </w:rPr>
        <w:t xml:space="preserve"> et </w:t>
      </w:r>
      <w:r w:rsidR="00583AD0" w:rsidRPr="002B039D">
        <w:rPr>
          <w:rFonts w:ascii="Tahoma" w:hAnsi="Tahoma" w:cs="Tahoma"/>
          <w:sz w:val="20"/>
          <w:szCs w:val="20"/>
        </w:rPr>
        <w:t>1</w:t>
      </w:r>
      <w:r w:rsidRPr="002B039D">
        <w:rPr>
          <w:rFonts w:ascii="Tahoma" w:hAnsi="Tahoma" w:cs="Tahoma"/>
          <w:sz w:val="20"/>
          <w:szCs w:val="20"/>
        </w:rPr>
        <w:t xml:space="preserve"> 000 habitants</w:t>
      </w:r>
    </w:p>
    <w:p w:rsidR="00583AD0" w:rsidRPr="002B039D" w:rsidRDefault="00583AD0" w:rsidP="00583AD0">
      <w:pPr>
        <w:pStyle w:val="Paragraphedeliste"/>
        <w:rPr>
          <w:rFonts w:ascii="Tahoma" w:hAnsi="Tahoma" w:cs="Tahoma"/>
          <w:sz w:val="20"/>
          <w:szCs w:val="20"/>
        </w:rPr>
      </w:pPr>
    </w:p>
    <w:p w:rsidR="00583AD0" w:rsidRPr="002B039D" w:rsidRDefault="00583AD0" w:rsidP="00583AD0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2B039D"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>ème</w:t>
      </w: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 xml:space="preserve"> catégorie</w:t>
      </w:r>
      <w:r w:rsidRPr="002B039D">
        <w:rPr>
          <w:rFonts w:ascii="Tahoma" w:hAnsi="Tahoma" w:cs="Tahoma"/>
          <w:sz w:val="20"/>
          <w:szCs w:val="20"/>
        </w:rPr>
        <w:t> : communes dont la population est comprise entre 1 001 et 3 000 habitants</w:t>
      </w:r>
    </w:p>
    <w:p w:rsidR="0031159D" w:rsidRPr="002B03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2B039D" w:rsidRDefault="00583AD0" w:rsidP="0031159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B039D">
        <w:rPr>
          <w:rFonts w:ascii="Tahoma" w:hAnsi="Tahoma" w:cs="Tahoma"/>
          <w:b/>
          <w:bCs/>
          <w:i/>
          <w:iCs/>
          <w:sz w:val="20"/>
          <w:szCs w:val="20"/>
        </w:rPr>
        <w:t>6</w:t>
      </w:r>
      <w:r w:rsidR="0031159D" w:rsidRPr="002B039D">
        <w:rPr>
          <w:rFonts w:ascii="Tahoma" w:hAnsi="Tahoma" w:cs="Tahoma"/>
          <w:b/>
          <w:bCs/>
          <w:i/>
          <w:iCs/>
          <w:sz w:val="20"/>
          <w:szCs w:val="20"/>
          <w:vertAlign w:val="superscript"/>
        </w:rPr>
        <w:t>ème</w:t>
      </w:r>
      <w:r w:rsidR="0031159D" w:rsidRPr="002B039D">
        <w:rPr>
          <w:rFonts w:ascii="Tahoma" w:hAnsi="Tahoma" w:cs="Tahoma"/>
          <w:b/>
          <w:bCs/>
          <w:i/>
          <w:iCs/>
          <w:sz w:val="20"/>
          <w:szCs w:val="20"/>
        </w:rPr>
        <w:t xml:space="preserve"> catégorie</w:t>
      </w:r>
      <w:r w:rsidR="0031159D" w:rsidRPr="002B039D">
        <w:rPr>
          <w:rFonts w:ascii="Tahoma" w:hAnsi="Tahoma" w:cs="Tahoma"/>
          <w:sz w:val="20"/>
          <w:szCs w:val="20"/>
        </w:rPr>
        <w:t xml:space="preserve"> : communes dont la population est supérieure à </w:t>
      </w:r>
      <w:r w:rsidRPr="002B039D">
        <w:rPr>
          <w:rFonts w:ascii="Tahoma" w:hAnsi="Tahoma" w:cs="Tahoma"/>
          <w:sz w:val="20"/>
          <w:szCs w:val="20"/>
        </w:rPr>
        <w:t>3</w:t>
      </w:r>
      <w:r w:rsidR="0031159D" w:rsidRPr="002B039D">
        <w:rPr>
          <w:rFonts w:ascii="Tahoma" w:hAnsi="Tahoma" w:cs="Tahoma"/>
          <w:sz w:val="20"/>
          <w:szCs w:val="20"/>
        </w:rPr>
        <w:t xml:space="preserve"> 000 habitants</w:t>
      </w:r>
    </w:p>
    <w:p w:rsidR="00B15A92" w:rsidRPr="002B039D" w:rsidRDefault="00B15A92" w:rsidP="00B15A92">
      <w:pPr>
        <w:pStyle w:val="Paragraphedeliste"/>
        <w:rPr>
          <w:rFonts w:ascii="Tahoma" w:hAnsi="Tahoma" w:cs="Tahoma"/>
          <w:sz w:val="20"/>
          <w:szCs w:val="20"/>
        </w:rPr>
      </w:pPr>
    </w:p>
    <w:p w:rsidR="00B15A92" w:rsidRPr="002B039D" w:rsidRDefault="00B15A92" w:rsidP="0031159D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B039D">
        <w:rPr>
          <w:rFonts w:ascii="Tahoma" w:hAnsi="Tahoma" w:cs="Tahoma"/>
          <w:b/>
          <w:sz w:val="20"/>
          <w:szCs w:val="20"/>
        </w:rPr>
        <w:t>Prix spéciaux :</w:t>
      </w:r>
      <w:r w:rsidRPr="002B039D">
        <w:rPr>
          <w:rFonts w:ascii="Tahoma" w:hAnsi="Tahoma" w:cs="Tahoma"/>
          <w:sz w:val="20"/>
          <w:szCs w:val="20"/>
        </w:rPr>
        <w:t xml:space="preserve"> peuvent être attribués par le jury concernant une action particulière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sz w:val="20"/>
          <w:szCs w:val="20"/>
        </w:rPr>
        <w:t>Le jury départemental visite toutes les communes candidates dans le courant du mois de juillet et établit le palmarès sur la base des critères ci-dessus énumérés.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sz w:val="20"/>
          <w:szCs w:val="20"/>
        </w:rPr>
        <w:t>Le jury établit enfin une sélection des communes qu’il estime susceptibles de concourir à l’échelon régional pour le classement «une fleur» et en communique la liste au Comité régional.</w:t>
      </w:r>
    </w:p>
    <w:p w:rsidR="0031159D" w:rsidRDefault="0031159D" w:rsidP="0031159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b/>
          <w:bCs/>
          <w:sz w:val="20"/>
          <w:szCs w:val="20"/>
        </w:rPr>
        <w:t xml:space="preserve">Article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4E72F6">
        <w:rPr>
          <w:rFonts w:ascii="Tahoma" w:hAnsi="Tahoma" w:cs="Tahoma"/>
          <w:sz w:val="20"/>
          <w:szCs w:val="20"/>
        </w:rPr>
        <w:t xml:space="preserve"> – Le Département organise une remise de prix pour </w:t>
      </w:r>
      <w:r>
        <w:rPr>
          <w:rFonts w:ascii="Tahoma" w:hAnsi="Tahoma" w:cs="Tahoma"/>
          <w:sz w:val="20"/>
          <w:szCs w:val="20"/>
        </w:rPr>
        <w:t xml:space="preserve">les </w:t>
      </w:r>
      <w:r w:rsidRPr="002B039D">
        <w:rPr>
          <w:rFonts w:ascii="Tahoma" w:hAnsi="Tahoma" w:cs="Tahoma"/>
          <w:sz w:val="20"/>
          <w:szCs w:val="20"/>
        </w:rPr>
        <w:t>lauréats</w:t>
      </w:r>
      <w:r w:rsidR="00B15A92" w:rsidRPr="002B039D">
        <w:rPr>
          <w:rFonts w:ascii="Tahoma" w:hAnsi="Tahoma" w:cs="Tahoma"/>
          <w:sz w:val="20"/>
          <w:szCs w:val="20"/>
        </w:rPr>
        <w:t xml:space="preserve"> où tous les participants sont conviés</w:t>
      </w:r>
      <w:r w:rsidRPr="002B039D">
        <w:rPr>
          <w:rFonts w:ascii="Tahoma" w:hAnsi="Tahoma" w:cs="Tahoma"/>
          <w:sz w:val="20"/>
          <w:szCs w:val="20"/>
        </w:rPr>
        <w:t>.</w:t>
      </w: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  <w:r w:rsidRPr="004E72F6">
        <w:rPr>
          <w:rFonts w:ascii="Tahoma" w:hAnsi="Tahoma" w:cs="Tahoma"/>
          <w:b/>
          <w:bCs/>
          <w:sz w:val="20"/>
          <w:szCs w:val="20"/>
        </w:rPr>
        <w:t xml:space="preserve">Article 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4E72F6">
        <w:rPr>
          <w:rFonts w:ascii="Tahoma" w:hAnsi="Tahoma" w:cs="Tahoma"/>
          <w:sz w:val="20"/>
          <w:szCs w:val="20"/>
        </w:rPr>
        <w:t xml:space="preserve"> – L’adhésion au concours entraîne de la part des candidats l’acceptation sans réserve du présent règlement, ainsi que des décisions prises par le jury.</w:t>
      </w: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Pr="004E72F6" w:rsidRDefault="0031159D" w:rsidP="0031159D">
      <w:pPr>
        <w:jc w:val="both"/>
        <w:rPr>
          <w:rFonts w:ascii="Tahoma" w:hAnsi="Tahoma" w:cs="Tahoma"/>
          <w:sz w:val="20"/>
          <w:szCs w:val="20"/>
        </w:rPr>
      </w:pPr>
    </w:p>
    <w:p w:rsidR="0031159D" w:rsidRDefault="0031159D" w:rsidP="0031159D">
      <w:pPr>
        <w:jc w:val="center"/>
      </w:pPr>
      <w:r>
        <w:t xml:space="preserve">Validé par délibération de la Commission Permanente du </w:t>
      </w:r>
      <w:r w:rsidR="00116AD0">
        <w:rPr>
          <w:b/>
        </w:rPr>
        <w:t>29 mars 2019</w:t>
      </w:r>
      <w:r w:rsidR="002B039D">
        <w:rPr>
          <w:b/>
        </w:rPr>
        <w:t>.</w:t>
      </w:r>
    </w:p>
    <w:p w:rsidR="00160811" w:rsidRDefault="00160811"/>
    <w:sectPr w:rsidR="00160811" w:rsidSect="00263145">
      <w:pgSz w:w="11906" w:h="16838" w:code="9"/>
      <w:pgMar w:top="360" w:right="1418" w:bottom="1418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3D6"/>
    <w:multiLevelType w:val="hybridMultilevel"/>
    <w:tmpl w:val="CAAA8A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9D"/>
    <w:rsid w:val="00116AD0"/>
    <w:rsid w:val="00160811"/>
    <w:rsid w:val="002B039D"/>
    <w:rsid w:val="002B49EA"/>
    <w:rsid w:val="0031159D"/>
    <w:rsid w:val="004F4034"/>
    <w:rsid w:val="00583AD0"/>
    <w:rsid w:val="006F2F51"/>
    <w:rsid w:val="00B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9D"/>
    <w:rPr>
      <w:rFonts w:ascii="CG Times (WN)" w:eastAsia="Times New Roman" w:hAnsi="CG Times (WN)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5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59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83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9D"/>
    <w:rPr>
      <w:rFonts w:ascii="CG Times (WN)" w:eastAsia="Times New Roman" w:hAnsi="CG Times (WN)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5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59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8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CODINA Corinne</dc:creator>
  <cp:lastModifiedBy>DDATPEPINIERE</cp:lastModifiedBy>
  <cp:revision>3</cp:revision>
  <cp:lastPrinted>2017-04-21T06:14:00Z</cp:lastPrinted>
  <dcterms:created xsi:type="dcterms:W3CDTF">2019-05-03T07:41:00Z</dcterms:created>
  <dcterms:modified xsi:type="dcterms:W3CDTF">2019-05-03T07:45:00Z</dcterms:modified>
</cp:coreProperties>
</file>